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84" w:rsidRDefault="00CA7984" w:rsidP="00CA79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0" w:name="_title_11"/>
      <w:bookmarkStart w:id="1" w:name="_ref_1-ce368ed8ccfc4b"/>
    </w:p>
    <w:p w:rsidR="00CA7984" w:rsidRDefault="00CA7984" w:rsidP="00CA79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E3320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Pr="00E33204">
        <w:rPr>
          <w:sz w:val="24"/>
          <w:szCs w:val="24"/>
        </w:rPr>
        <w:t xml:space="preserve"> к учетной политике</w:t>
      </w:r>
    </w:p>
    <w:p w:rsidR="002F1896" w:rsidRDefault="002F1896" w:rsidP="00CA79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bookmarkStart w:id="2" w:name="_GoBack"/>
      <w:bookmarkEnd w:id="2"/>
    </w:p>
    <w:p w:rsidR="00CA7984" w:rsidRDefault="00CA7984" w:rsidP="00CA79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CA7984" w:rsidRPr="00E33204" w:rsidRDefault="00CA7984" w:rsidP="00CA79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CA7984" w:rsidRPr="00CA7984" w:rsidRDefault="00CA7984" w:rsidP="00CA7984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 w:rsidRPr="00CA7984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Порядок выдачи под отчет денежных средств, составления и представления отчетов подотчетными лицами</w:t>
      </w:r>
      <w:bookmarkEnd w:id="0"/>
      <w:bookmarkEnd w:id="1"/>
    </w:p>
    <w:p w:rsidR="00CA7984" w:rsidRPr="00CA7984" w:rsidRDefault="00CA7984" w:rsidP="00CA7984">
      <w:pPr>
        <w:spacing w:before="120" w:after="12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ref_1-ea10bb6aa90541"/>
    </w:p>
    <w:p w:rsidR="00CA7984" w:rsidRPr="00134F60" w:rsidRDefault="00CA7984" w:rsidP="00134F60">
      <w:pPr>
        <w:pStyle w:val="a5"/>
        <w:numPr>
          <w:ilvl w:val="0"/>
          <w:numId w:val="4"/>
        </w:numPr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3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ref_1-ed0f944950304c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устанавливает единые правила расчетов с подотчетными лицами.</w:t>
      </w:r>
      <w:bookmarkEnd w:id="4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ref_1-ab888e3479324c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нормативными правовыми актами, использованными при разработке настоящего Порядка, являются:</w:t>
      </w:r>
      <w:bookmarkEnd w:id="5"/>
    </w:p>
    <w:p w:rsidR="00CA7984" w:rsidRPr="00CA7984" w:rsidRDefault="00CA7984" w:rsidP="00CA7984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3210-У;</w:t>
      </w:r>
    </w:p>
    <w:p w:rsidR="00CA7984" w:rsidRPr="00CA7984" w:rsidRDefault="00CA7984" w:rsidP="00CA7984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№ 157н;</w:t>
      </w:r>
    </w:p>
    <w:p w:rsidR="00CA7984" w:rsidRPr="00CA7984" w:rsidRDefault="00CA7984" w:rsidP="00CA7984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 № 52н;</w:t>
      </w:r>
    </w:p>
    <w:p w:rsidR="00CA7984" w:rsidRPr="00CA7984" w:rsidRDefault="00CA7984" w:rsidP="00CA7984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особенностях направления работников в служебные командировки, утвержденное Постановлением Правительства РФ от 13.10.2008 № 749.</w:t>
      </w:r>
    </w:p>
    <w:p w:rsidR="00CA7984" w:rsidRPr="00134F60" w:rsidRDefault="00CA7984" w:rsidP="00134F60">
      <w:pPr>
        <w:pStyle w:val="a5"/>
        <w:numPr>
          <w:ilvl w:val="0"/>
          <w:numId w:val="4"/>
        </w:num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ref_1-f56f1a7c932e4a"/>
      <w:r w:rsidRPr="0013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выдачи денежных средств под отчет</w:t>
      </w:r>
      <w:bookmarkEnd w:id="6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ref_1-d90441ec80114e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выдаются (перечисляются) под отчет:</w:t>
      </w:r>
      <w:bookmarkEnd w:id="7"/>
    </w:p>
    <w:p w:rsidR="00CA7984" w:rsidRPr="00CA7984" w:rsidRDefault="00CA7984" w:rsidP="00CA7984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административно-хозяйственные нужды;</w:t>
      </w:r>
    </w:p>
    <w:p w:rsidR="002C25D1" w:rsidRDefault="00CA7984" w:rsidP="002C25D1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покрытие (возмещение) затрат, связанных со служебными командировками.</w:t>
      </w:r>
      <w:bookmarkStart w:id="8" w:name="_ref_1-4db4d624e8a645"/>
    </w:p>
    <w:p w:rsidR="00CA7984" w:rsidRPr="00CA7984" w:rsidRDefault="00CA7984" w:rsidP="002C25D1">
      <w:pPr>
        <w:spacing w:before="120" w:after="12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подотчетные суммы на административно-хозяйственные нужды имеют право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с кем заключен договор о полной индивидуальной материальной ответственности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8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ref_1-1797e1f4891840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денежных средств, выдаваемых под отчет одному лицу на административно-хозяйственные нужды, с учетом перерасхода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15 000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9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ref_1-6503f760d1844d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Денежные средства под отчет на административно-хозяйственные нужды перечисляются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зарплатную карту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</w:t>
      </w:r>
      <w:bookmarkEnd w:id="10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ref_1-d4107c1059a54a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выдачи денежных средств под отчет на административно-хозяйственные нужды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1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ref_1-35858331481947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Подотчетные суммы на осуществление командировочных расходов выдаются работникам, состоящим в трудовых отношениях, при направлении в служебную командировку в соответствии с распорядительным актом руководителя.</w:t>
      </w:r>
      <w:bookmarkEnd w:id="12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ref_1-a3e4416c0aa746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Авансы на расходы, связанные со служебными командировками, перечисляются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зарплатную карту</w:t>
      </w: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</w:t>
      </w:r>
      <w:bookmarkEnd w:id="13"/>
    </w:p>
    <w:p w:rsid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ref_1-e14f361afc9e47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денежных средств под отчет работник оформляет письменное заявление с указанием суммы аванса, его назначения, расчета (обоснования) размера аванса и срока, на который он выдается. </w:t>
      </w:r>
      <w:bookmarkStart w:id="15" w:name="_ref_1-e3c1fe59dddc4d"/>
      <w:bookmarkEnd w:id="14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заявлении работника уполномоченное должностное лицо проставляет отметку о наличии (отсутствии) на текущую дату задолженности по ранее выданным авансам. При наличии за работником задолженности указываются ее сумма и срок отчета по выданному авансу, ставятся дата и подпись уполномоченного лица. Если задолженности нет, на заявлении делается отметка "Задолженность отсутствует" с указанием даты и проставлением подписи уполномоченного лица.</w:t>
      </w:r>
      <w:bookmarkEnd w:id="15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ref_1-c4f3cf8c98da45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 течение двух рабочих дней рассматривает заявление и указывает на нем сумму выдаваемых (перечисляемых) под отчет работнику денежных средств и срок, на который они выдаются, ставит подпись и дату.</w:t>
      </w:r>
      <w:bookmarkEnd w:id="16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ref_1-02b6a45f2f6c49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представления Авансового отчета </w:t>
      </w:r>
      <w:hyperlink r:id="rId9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7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ref_1-30001f81b6c640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выданных (перечисленных) под отчет денежных средств одним лицом другому запрещается.</w:t>
      </w:r>
      <w:bookmarkEnd w:id="18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ref_1-505503b2ced34c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исключительных случаях, когда работник с разрешения руководителя произвел оплату расходов за счет собственных средств, производится возмещение таких расходов. Основанием для этого является авансовый отчет работника об израсходованных средствах, утвержденный руководителем, с приложением подтверждающих документов.</w:t>
      </w:r>
      <w:bookmarkEnd w:id="19"/>
    </w:p>
    <w:p w:rsidR="00CA7984" w:rsidRPr="00134F60" w:rsidRDefault="00CA7984" w:rsidP="00134F60">
      <w:pPr>
        <w:pStyle w:val="a5"/>
        <w:numPr>
          <w:ilvl w:val="0"/>
          <w:numId w:val="4"/>
        </w:num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ref_1-69e8247cc43046"/>
      <w:r w:rsidRPr="0013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отчетности подотчетными лицами</w:t>
      </w:r>
      <w:bookmarkEnd w:id="20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ref_1-6067354b1e134c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израсходованным суммам подотчетное лицо представляет авансовый отчет с приложением документов, подтверждающих произведенные расходы. Документы, приложенные к авансовому отчету, нумеруются подотчетным лицом в порядке их записи в отчете.</w:t>
      </w:r>
      <w:bookmarkEnd w:id="21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ref_1-0281394a12744a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Авансовый отчет </w:t>
      </w:r>
      <w:hyperlink r:id="rId10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расходам на административно-хозяйственные нужды представляется подотчетным лицом не позднее трех рабочих дней со дня истечения срока, на который были выданы денежные средства.</w:t>
      </w:r>
      <w:bookmarkEnd w:id="22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ref_1-c6f78144991948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Авансовый отчет </w:t>
      </w:r>
      <w:hyperlink r:id="rId11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командировочным расходам представляется работником не позднее трех рабочих дней со дня возвращения из командировки.</w:t>
      </w:r>
      <w:bookmarkEnd w:id="23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ref_1-6667bcada4764c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ответственные за оформление соответствующих фактов хозяйственной жизни, проверяют правильность оформления Авансового отчета </w:t>
      </w:r>
      <w:hyperlink r:id="rId12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документов, подтверждающих произведенные расходы, обоснованность расходования средств.</w:t>
      </w:r>
      <w:bookmarkEnd w:id="24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ref_1-07b88fdb13a441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прилагаемые к авансовому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  <w:bookmarkEnd w:id="25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ref_1-5617db29975043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Проверенный Авансовый отчет </w:t>
      </w:r>
      <w:hyperlink r:id="rId13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руководитель. После этого отчет принимается к учету.</w:t>
      </w:r>
      <w:bookmarkEnd w:id="26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_ref_1-832e15eefbf846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утверждение авансового отчета осуществляются в течение трех рабочих дней со дня его представления подотчетным лицом.</w:t>
      </w:r>
      <w:bookmarkEnd w:id="27"/>
    </w:p>
    <w:p w:rsidR="00621FB2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_ref_1-d591e278da9343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Сумма превышения принятых к учету расходов подотчетного лица над ранее выданным авансом (сумма утвержденного перерасхода) в течение 30 календарных дней перечисляются на </w:t>
      </w:r>
      <w:bookmarkStart w:id="29" w:name="_ref_1-279740ebfc2a47"/>
      <w:bookmarkEnd w:id="28"/>
      <w:r w:rsidR="00621F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зарплатную карту сотрудника.</w:t>
      </w:r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неиспользованного аванса вносится подотчетным лицом не позднее дня, следующего за днем утверждения руководителем Авансового отчета </w:t>
      </w:r>
      <w:hyperlink r:id="rId14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9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ref_1-9c2398e886d646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работник в установленный срок не представил Авансовый отчет </w:t>
      </w:r>
      <w:hyperlink r:id="rId15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 0504505)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</w:t>
      </w:r>
      <w:hyperlink r:id="rId16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ст. 137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CA7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138</w:t>
        </w:r>
      </w:hyperlink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РФ.</w:t>
      </w:r>
      <w:bookmarkEnd w:id="30"/>
    </w:p>
    <w:p w:rsidR="00CA7984" w:rsidRPr="00CA7984" w:rsidRDefault="00CA7984" w:rsidP="00CA7984">
      <w:pPr>
        <w:numPr>
          <w:ilvl w:val="1"/>
          <w:numId w:val="0"/>
        </w:numPr>
        <w:spacing w:before="120" w:after="120" w:line="360" w:lineRule="auto"/>
        <w:ind w:firstLine="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ref_1-3e1cb3c119bb4d"/>
      <w:r w:rsidRPr="00C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  <w:bookmarkEnd w:id="31"/>
    </w:p>
    <w:p w:rsidR="008157C9" w:rsidRPr="00CA7984" w:rsidRDefault="008157C9" w:rsidP="00CA7984">
      <w:pPr>
        <w:spacing w:line="360" w:lineRule="auto"/>
        <w:jc w:val="both"/>
        <w:rPr>
          <w:sz w:val="28"/>
          <w:szCs w:val="28"/>
        </w:rPr>
      </w:pPr>
    </w:p>
    <w:sectPr w:rsidR="008157C9" w:rsidRPr="00CA7984" w:rsidSect="002C25D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CCB"/>
    <w:multiLevelType w:val="hybridMultilevel"/>
    <w:tmpl w:val="D0F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4468"/>
    <w:multiLevelType w:val="hybridMultilevel"/>
    <w:tmpl w:val="28803D8E"/>
    <w:lvl w:ilvl="0" w:tplc="0419000F">
      <w:start w:val="1"/>
      <w:numFmt w:val="decimal"/>
      <w:lvlText w:val="%1.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84"/>
    <w:rsid w:val="00134F60"/>
    <w:rsid w:val="002C25D1"/>
    <w:rsid w:val="002F1896"/>
    <w:rsid w:val="00621FB2"/>
    <w:rsid w:val="008157C9"/>
    <w:rsid w:val="00C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BE44-5EAE-428D-9D45-478B575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CA7984"/>
    <w:pPr>
      <w:numPr>
        <w:numId w:val="1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CA7984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CA7984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CA7984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CA7984"/>
    <w:pPr>
      <w:numPr>
        <w:ilvl w:val="4"/>
        <w:numId w:val="1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CA7984"/>
    <w:pPr>
      <w:numPr>
        <w:ilvl w:val="5"/>
        <w:numId w:val="1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CA7984"/>
    <w:pPr>
      <w:numPr>
        <w:ilvl w:val="6"/>
        <w:numId w:val="1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CA7984"/>
    <w:pPr>
      <w:numPr>
        <w:ilvl w:val="7"/>
        <w:numId w:val="1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CA7984"/>
    <w:pPr>
      <w:numPr>
        <w:ilvl w:val="8"/>
        <w:numId w:val="1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CA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CA7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4F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8E196C5069C654393C4422B6702763792395C742FD69E8ED54C43BB2402B726F73A412BD403E6C2A5E60AF36CdFRFM" TargetMode="External"/><Relationship Id="rId13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87C989255BD5FBE190C6009D654393C4422B6702763F803Ed1R5M" TargetMode="External"/><Relationship Id="rId12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7" Type="http://schemas.openxmlformats.org/officeDocument/2006/relationships/hyperlink" Target="consultantplus://offline/ref=9D8161AA42813FF2C5CEF20345109A18045E915A4D486592BF0D91A3DD55F1698951AD87C989255BD5FAE991C3029B654393C4422B6702763792395C742FD6978ADF4C4BBB23d1R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8161AA42813FF2C5CEF20345109A18045E915A4D486592BF0D91A3DD55F1698951AD87C989255BD5FAE991C3029B654393C4422B6702763792395C742FD6978DDD4C4BBB23d1R3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8161AA42813FF2C5CEF20345109A18045E915A4D486592BF0D91A3DD55F1698951AD87C989255BD5FBE092C10199654393C4422B6702763792395C742FD69D86DB4C4BBB23d1R3M" TargetMode="External"/><Relationship Id="rId11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5" Type="http://schemas.openxmlformats.org/officeDocument/2006/relationships/hyperlink" Target="consultantplus://offline/ref=9D8161AA42813FF2C5CEF20345109A18045E915A4D486592BF0D91A3DD55F1698951AD87C989255BD5FBEB97C0019A654393C4422B6702763F803Ed1R5M" TargetMode="External"/><Relationship Id="rId15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0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4" Type="http://schemas.openxmlformats.org/officeDocument/2006/relationships/hyperlink" Target="consultantplus://offline/ref=9D8161AA42813FF2C5CEF20345109A18045E915A4D486592BF0D91A3DD55F1698951AD9BC98E255BD5FCEE95C00C9338499B9D4E29600D213292d3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4</cp:revision>
  <cp:lastPrinted>2025-12-23T07:04:00Z</cp:lastPrinted>
  <dcterms:created xsi:type="dcterms:W3CDTF">2020-07-22T11:01:00Z</dcterms:created>
  <dcterms:modified xsi:type="dcterms:W3CDTF">2025-12-23T07:04:00Z</dcterms:modified>
</cp:coreProperties>
</file>