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FF" w:rsidRPr="00D472FF" w:rsidRDefault="00D472FF" w:rsidP="00A72C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2FF" w:rsidRPr="00D472FF" w:rsidRDefault="00D472FF" w:rsidP="00D472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D472F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сфере</w:t>
      </w:r>
      <w:r w:rsidRPr="00D472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земельного контроля</w:t>
      </w:r>
      <w:r w:rsidRPr="00D472FF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в границах </w:t>
      </w:r>
      <w:r w:rsidRPr="00D472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Промышленного района </w:t>
      </w:r>
      <w:r w:rsidR="00954E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городского округа Самара на 202</w:t>
      </w:r>
      <w:r w:rsidR="00BF15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D472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 </w:t>
      </w: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программа профилактики)</w:t>
      </w:r>
    </w:p>
    <w:p w:rsidR="00D472FF" w:rsidRPr="00D472FF" w:rsidRDefault="00D472FF" w:rsidP="00D4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2FF" w:rsidRPr="00D472FF" w:rsidRDefault="00D472FF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472FF" w:rsidRPr="00D472FF" w:rsidRDefault="00D472FF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72FF" w:rsidRPr="00D472FF" w:rsidRDefault="00D472FF" w:rsidP="00D472F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текущего состояния осуществления вида контроля.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в области муниципального земельного контроля на территории Промышленного района в 20</w:t>
      </w:r>
      <w:r w:rsidR="00954E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F1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(далее – Программа)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248-ФЗ),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утвержденных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Промышленного района городского округа Самара (далее – Промышленный район).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Промышленного района.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Муниципальный земельный контроль - это деятельность органа местного самоуправления, уполномоченного на организацию и проведение на территории </w:t>
      </w:r>
      <w:r w:rsidR="00954E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Промышленного</w:t>
      </w: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комплекса мер по соблюдению юридическими лицами, индивидуальными предпринимателями и гражданами обязательных требований, указанных ст. 25, 26, 42 Земельного кодекса Российской Федерации (далее – обязательные требования).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 земельный контроль осуществляется посредством: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профилактики нарушений обязательных требований, организации                     и проведения контрольных (надзорных) мероприятий;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принятия предусмотренных законодательством Российской Федерации мер по пресечению, предупреждению и (или) устранению последствий выявленных на</w:t>
      </w:r>
      <w:r w:rsidR="00954E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рушений обязательных требований.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 земельный контроль осуществляется исключительно за соблюдением: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5) исполнения предписаний об устранении нарушений обязательных требований, выданных должностными лицами, уполномоченными </w:t>
      </w: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>осуществлять муниципальный земельный контроль, в пределах их компетенции.</w:t>
      </w:r>
    </w:p>
    <w:p w:rsidR="00D472FF" w:rsidRP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:rsidR="00D472FF" w:rsidRP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Профилактическая деятельность Администрации </w:t>
      </w:r>
      <w:r w:rsidR="00954E2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Промышленного 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района городского округа Самара (далее - Администрация района) в рамках осуществления муниципального земельного контроля предусматривает:</w:t>
      </w:r>
    </w:p>
    <w:p w:rsidR="00D472FF" w:rsidRPr="00D472FF" w:rsidRDefault="00DC6803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контролируемых лиц по вопросам соблюдения 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, требований, установленных муниципальными правовыми 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размещение на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в информационно-коммуникационной сети «Интернет» в разделе «Контрольн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деятельность»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ссылок на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 нормативных правовых актов;</w:t>
      </w:r>
    </w:p>
    <w:p w:rsidR="00D472FF" w:rsidRP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DC6803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консультирование;</w:t>
      </w:r>
    </w:p>
    <w:p w:rsidR="00D472FF" w:rsidRP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3) регулярное обобщение практики осуществления муниципального земельного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актами;</w:t>
      </w:r>
    </w:p>
    <w:p w:rsid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4) выдачу предостережений о недопустимости нарушения обязательных требований, требований, установленных муниципальными правовыми актами</w:t>
      </w:r>
      <w:r w:rsidR="00DC68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6803" w:rsidRPr="00D472FF" w:rsidRDefault="00DC6803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803">
        <w:rPr>
          <w:rFonts w:ascii="Times New Roman" w:eastAsia="Times New Roman" w:hAnsi="Times New Roman"/>
          <w:sz w:val="28"/>
          <w:szCs w:val="28"/>
          <w:lang w:eastAsia="ru-RU"/>
        </w:rPr>
        <w:t>6) профилактический визит.</w:t>
      </w:r>
    </w:p>
    <w:p w:rsidR="00D472FF" w:rsidRPr="00D472FF" w:rsidRDefault="00D472FF" w:rsidP="00D472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Вышеуказанные 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нарушений предусмотренными законодательством и муниципальными правовыми актами способами.</w:t>
      </w:r>
    </w:p>
    <w:p w:rsidR="00D472FF" w:rsidRPr="00D472FF" w:rsidRDefault="00D472FF" w:rsidP="00D472FF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D472FF" w:rsidRPr="00D472FF" w:rsidRDefault="00D472FF" w:rsidP="00D472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Цели и задачи реализации программы профилактики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анализ выявленных в результате проведения муниципального земельного контроля нарушений обязательных требований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3) организация и проведение профилактических мероприятий с учетом состояния подконтрольной среды</w:t>
      </w: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анализа выявленных в результате проведения муниципального земельного контроля нарушений обязательных требований</w:t>
      </w:r>
      <w:r w:rsidRPr="00D472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PT Serif" w:eastAsia="Times New Roman" w:hAnsi="PT Serif"/>
          <w:color w:val="000000"/>
          <w:sz w:val="28"/>
          <w:szCs w:val="28"/>
          <w:lang w:eastAsia="ru-RU"/>
        </w:rPr>
      </w:pPr>
    </w:p>
    <w:p w:rsidR="00A72C2B" w:rsidRDefault="00A72C2B" w:rsidP="00D472FF">
      <w:pPr>
        <w:shd w:val="clear" w:color="auto" w:fill="FFFFFF"/>
        <w:spacing w:after="0" w:line="360" w:lineRule="auto"/>
        <w:ind w:firstLine="709"/>
        <w:jc w:val="both"/>
        <w:rPr>
          <w:rFonts w:ascii="PT Serif" w:eastAsia="Times New Roman" w:hAnsi="PT Serif"/>
          <w:color w:val="000000"/>
          <w:sz w:val="28"/>
          <w:szCs w:val="28"/>
          <w:lang w:eastAsia="ru-RU"/>
        </w:rPr>
      </w:pPr>
    </w:p>
    <w:p w:rsidR="00BF1547" w:rsidRPr="00D472FF" w:rsidRDefault="00BF1547" w:rsidP="00D472FF">
      <w:pPr>
        <w:shd w:val="clear" w:color="auto" w:fill="FFFFFF"/>
        <w:spacing w:after="0" w:line="360" w:lineRule="auto"/>
        <w:ind w:firstLine="709"/>
        <w:jc w:val="both"/>
        <w:rPr>
          <w:rFonts w:ascii="PT Serif" w:eastAsia="Times New Roman" w:hAnsi="PT Serif"/>
          <w:color w:val="000000"/>
          <w:sz w:val="28"/>
          <w:szCs w:val="28"/>
          <w:lang w:eastAsia="ru-RU"/>
        </w:rPr>
      </w:pPr>
    </w:p>
    <w:p w:rsidR="00D472FF" w:rsidRPr="00D472FF" w:rsidRDefault="00D472FF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 xml:space="preserve">3. Перечень профилактических мероприятий, </w:t>
      </w:r>
    </w:p>
    <w:p w:rsidR="00D472FF" w:rsidRPr="00D472FF" w:rsidRDefault="00D472FF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сроки (периодичность) их проведения</w:t>
      </w:r>
    </w:p>
    <w:p w:rsidR="00D472FF" w:rsidRPr="00D472FF" w:rsidRDefault="00D472FF" w:rsidP="00D4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72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622"/>
        <w:gridCol w:w="3096"/>
        <w:gridCol w:w="2048"/>
        <w:gridCol w:w="1935"/>
      </w:tblGrid>
      <w:tr w:rsidR="00D472FF" w:rsidRPr="00D472FF" w:rsidTr="00920C28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реализацию мероприятия исполнитель</w:t>
            </w:r>
          </w:p>
        </w:tc>
      </w:tr>
      <w:tr w:rsidR="00D472FF" w:rsidRPr="00D472FF" w:rsidTr="00920C28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472FF" w:rsidRPr="00D472FF" w:rsidRDefault="00D472FF" w:rsidP="00D472FF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ind w:firstLine="1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Размещение сведений по вопросам соблюдения обязательных требований на официальном сайте администрации в разделе «</w:t>
            </w:r>
            <w:r w:rsidR="007C5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контроль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472FF" w:rsidRPr="00D472FF" w:rsidRDefault="00D472FF" w:rsidP="00D47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10 дней после вступления в силу изменений нормативно-правовой базы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BB49E3" w:rsidP="00D472F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Консультант отдела </w:t>
            </w:r>
            <w:r w:rsidR="00D472FF"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 w:rsidR="00BF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земельного и лесного контроля</w:t>
            </w:r>
            <w:r w:rsidR="00CA29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2FF" w:rsidRPr="00D472FF" w:rsidTr="00920C28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BF15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земельного контроля нарушений обязательных требований контролируемыми лицами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доклада о правоприменительной практике</w:t>
            </w:r>
          </w:p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920C28" w:rsidP="00A72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2026</w:t>
            </w:r>
            <w:r w:rsidR="006B0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FF" w:rsidRPr="00D472FF" w:rsidRDefault="00BB49E3" w:rsidP="00BB49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доклада о правоприменительной практике на официальном сайте администрации в разделе «Муниципальный контроль»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920C28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 июля 2026</w:t>
            </w:r>
            <w:r w:rsidR="00D472FF"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920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принять меры по обеспечению соблюдения обязательных требований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 признаках нарушений обязательных требований 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выявления готовящихся нарушений обязательных требований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требований,</w:t>
            </w:r>
            <w:r w:rsidRPr="00D472F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30 дней со дня получения администрацией указанных сведений 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920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 по следующим вопросам муниципального земельного контроля:</w:t>
            </w:r>
          </w:p>
          <w:p w:rsidR="00D472FF" w:rsidRPr="00D472FF" w:rsidRDefault="00D472FF" w:rsidP="00D472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 организация и осуществление муниципального земельного контроля;</w:t>
            </w:r>
          </w:p>
          <w:p w:rsidR="00D472FF" w:rsidRPr="00D472FF" w:rsidRDefault="00D472FF" w:rsidP="00D472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 порядок осуществления контрольных мероприятий, установленных Положением о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муниципальном земельном контроле в </w:t>
            </w:r>
            <w:r w:rsid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границах Промышленного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района городского округа Самара;</w:t>
            </w:r>
          </w:p>
          <w:p w:rsidR="00D472FF" w:rsidRPr="00D472FF" w:rsidRDefault="00D472FF" w:rsidP="00D472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472FF" w:rsidRPr="00D472FF" w:rsidRDefault="00D472FF" w:rsidP="00D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обращении лица, нуждающегося в консультировании 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BB49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отдела, ко</w:t>
            </w: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срок не предусмотрен законодательством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920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Консультирование контролируемых лиц путем размещения на сайте администрации в разделе «Муниципальный контроль» письменного разъяснения, подписанного главой (заместителем глав</w:t>
            </w:r>
            <w:r w:rsid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ы) Администрации Промышленного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Pr="00D472F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должностным лицом, уполномоченным осуществлять муниципальный земельный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T Serif" w:eastAsia="Times New Roman" w:hAnsi="PT Serif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BB49E3" w:rsidP="00920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9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  <w:tr w:rsidR="00D472FF" w:rsidRPr="00D472FF" w:rsidTr="00920C28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D472FF" w:rsidP="00D472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72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земельного контроля в день проведения собрания (конференции) граждан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FF" w:rsidRPr="00D472FF" w:rsidRDefault="000918A0" w:rsidP="00920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 муниципального земельного и лесного контроля</w:t>
            </w:r>
          </w:p>
        </w:tc>
      </w:tr>
      <w:tr w:rsidR="000918A0" w:rsidRPr="00D472FF" w:rsidTr="00920C28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D472FF" w:rsidRDefault="000918A0" w:rsidP="000918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D472FF" w:rsidRDefault="000918A0" w:rsidP="000918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0918A0" w:rsidRDefault="000918A0" w:rsidP="0009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Профилактическая беседа инспектора по месту осуществления деятельности контролируемого лица либо путем использования видео-конференц-связи или </w:t>
            </w: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мобильного приложения «Инспектор»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0918A0" w:rsidRDefault="000918A0" w:rsidP="00091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инициативе контролируемого лица или Администрации Промышленного </w:t>
            </w: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района городского округа Самара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Default="000918A0" w:rsidP="0009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отдела,</w:t>
            </w:r>
          </w:p>
          <w:p w:rsidR="000918A0" w:rsidRPr="000918A0" w:rsidRDefault="000918A0" w:rsidP="0009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отдела муниципального земельного и лесного контроля</w:t>
            </w:r>
          </w:p>
        </w:tc>
      </w:tr>
      <w:tr w:rsidR="000918A0" w:rsidRPr="00D472FF" w:rsidTr="00920C28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0918A0" w:rsidRDefault="000918A0" w:rsidP="000918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0918A0" w:rsidRDefault="000918A0" w:rsidP="000918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8A0" w:rsidRPr="000918A0" w:rsidRDefault="000918A0" w:rsidP="0009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860" w:rsidRPr="00A01860" w:rsidRDefault="00A01860" w:rsidP="00A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0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 объектов контроля, отнесенных к категории среднего риска, - не более одного обязательного профилактического визита в 5 лет;</w:t>
            </w:r>
          </w:p>
          <w:p w:rsidR="00A01860" w:rsidRPr="000918A0" w:rsidRDefault="00A01860" w:rsidP="00A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для объектов контроля, отнесенных к категории умеренного риска, - не более одного обязательного профилактического визита в 6 лет.</w:t>
            </w:r>
          </w:p>
          <w:p w:rsidR="000918A0" w:rsidRPr="000918A0" w:rsidRDefault="000918A0" w:rsidP="0009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860" w:rsidRPr="00A01860" w:rsidRDefault="00A01860" w:rsidP="00A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отдела,</w:t>
            </w:r>
          </w:p>
          <w:p w:rsidR="000918A0" w:rsidRPr="000918A0" w:rsidRDefault="00A01860" w:rsidP="00A0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муниципального земельного и лесного контроля</w:t>
            </w:r>
          </w:p>
        </w:tc>
      </w:tr>
    </w:tbl>
    <w:p w:rsidR="00920C28" w:rsidRDefault="00920C28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920C28" w:rsidRDefault="00920C28" w:rsidP="00D4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A01860" w:rsidRPr="00A01860" w:rsidRDefault="00A01860" w:rsidP="00A018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1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Показатели результативности и эффективности</w:t>
      </w:r>
    </w:p>
    <w:p w:rsidR="00A01860" w:rsidRPr="00A01860" w:rsidRDefault="00A01860" w:rsidP="00A018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A01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профилактики</w:t>
      </w:r>
    </w:p>
    <w:p w:rsidR="00A01860" w:rsidRPr="00A01860" w:rsidRDefault="00A01860" w:rsidP="00A018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Style w:val="2"/>
        <w:tblW w:w="10206" w:type="dxa"/>
        <w:tblInd w:w="-572" w:type="dxa"/>
        <w:tblLook w:val="04A0" w:firstRow="1" w:lastRow="0" w:firstColumn="1" w:lastColumn="0" w:noHBand="0" w:noVBand="1"/>
      </w:tblPr>
      <w:tblGrid>
        <w:gridCol w:w="560"/>
        <w:gridCol w:w="6444"/>
        <w:gridCol w:w="3202"/>
      </w:tblGrid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8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860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860">
              <w:rPr>
                <w:rFonts w:ascii="Times New Roman" w:hAnsi="Times New Roman"/>
                <w:b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01860" w:rsidRPr="00A01860" w:rsidTr="00A01860">
        <w:trPr>
          <w:trHeight w:val="1545"/>
        </w:trPr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сайте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A01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A0186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или признаков нарушений обязательных требований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100 %</w:t>
            </w: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color w:val="000000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93" w:type="dxa"/>
          </w:tcPr>
          <w:p w:rsidR="00A01860" w:rsidRPr="00A01860" w:rsidRDefault="00A01860" w:rsidP="00DC68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="00DC6803">
              <w:rPr>
                <w:rFonts w:ascii="Times New Roman" w:hAnsi="Times New Roman"/>
                <w:color w:val="000000"/>
                <w:sz w:val="24"/>
                <w:szCs w:val="24"/>
              </w:rPr>
              <w:t>земельного</w:t>
            </w:r>
            <w:bookmarkStart w:id="0" w:name="_GoBack"/>
            <w:bookmarkEnd w:id="0"/>
            <w:r w:rsidRPr="00A01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контроля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случаев </w:t>
            </w:r>
            <w:r w:rsidRPr="00A01860">
              <w:rPr>
                <w:rFonts w:ascii="Times New Roman" w:hAnsi="Times New Roman"/>
                <w:sz w:val="24"/>
                <w:szCs w:val="24"/>
              </w:rPr>
              <w:t xml:space="preserve">выявления типичных нарушений обязательных требований, причин, факторов и условий, способствующих возникновению указанных нарушений 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(случаи, выявленные при обобщении правоприменительной практики)</w:t>
            </w:r>
          </w:p>
        </w:tc>
      </w:tr>
      <w:tr w:rsidR="00A01860" w:rsidRPr="00A01860" w:rsidTr="00A01860">
        <w:tc>
          <w:tcPr>
            <w:tcW w:w="503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3" w:type="dxa"/>
          </w:tcPr>
          <w:p w:rsidR="00A01860" w:rsidRPr="00A01860" w:rsidRDefault="00A01860" w:rsidP="00A0186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>Соответствие количества проведенных профилактических визитов количеству запланированных профилактических визитов</w:t>
            </w:r>
          </w:p>
        </w:tc>
        <w:tc>
          <w:tcPr>
            <w:tcW w:w="3210" w:type="dxa"/>
          </w:tcPr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60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</w:p>
          <w:p w:rsidR="00A01860" w:rsidRPr="00A01860" w:rsidRDefault="00A01860" w:rsidP="00A018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860" w:rsidRPr="00A01860" w:rsidRDefault="00A01860" w:rsidP="00A018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472FF" w:rsidRPr="00D472FF" w:rsidRDefault="00D472FF" w:rsidP="00D47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2FF" w:rsidRDefault="00D472FF" w:rsidP="00CF3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472FF" w:rsidSect="00A01860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BE" w:rsidRDefault="006241BE" w:rsidP="00322B05">
      <w:pPr>
        <w:spacing w:after="0" w:line="240" w:lineRule="auto"/>
      </w:pPr>
      <w:r>
        <w:separator/>
      </w:r>
    </w:p>
  </w:endnote>
  <w:endnote w:type="continuationSeparator" w:id="0">
    <w:p w:rsidR="006241BE" w:rsidRDefault="006241BE" w:rsidP="0032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BE" w:rsidRDefault="006241BE" w:rsidP="00322B05">
      <w:pPr>
        <w:spacing w:after="0" w:line="240" w:lineRule="auto"/>
      </w:pPr>
      <w:r>
        <w:separator/>
      </w:r>
    </w:p>
  </w:footnote>
  <w:footnote w:type="continuationSeparator" w:id="0">
    <w:p w:rsidR="006241BE" w:rsidRDefault="006241BE" w:rsidP="0032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F7" w:rsidRDefault="00995FF7">
    <w:pPr>
      <w:pStyle w:val="a5"/>
      <w:jc w:val="center"/>
    </w:pPr>
  </w:p>
  <w:p w:rsidR="00564927" w:rsidRDefault="00564927" w:rsidP="00334A39">
    <w:pPr>
      <w:pStyle w:val="a5"/>
      <w:spacing w:after="0" w:line="240" w:lineRule="auto"/>
      <w:ind w:firstLine="43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B50" w:rsidRPr="00861B50" w:rsidRDefault="00861B50" w:rsidP="00861B50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83"/>
    <w:multiLevelType w:val="hybridMultilevel"/>
    <w:tmpl w:val="B41C4DB4"/>
    <w:lvl w:ilvl="0" w:tplc="18DAE87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1871E81"/>
    <w:multiLevelType w:val="multilevel"/>
    <w:tmpl w:val="BED8D4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716889"/>
    <w:multiLevelType w:val="hybridMultilevel"/>
    <w:tmpl w:val="7E90F728"/>
    <w:lvl w:ilvl="0" w:tplc="E79265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925B20"/>
    <w:multiLevelType w:val="hybridMultilevel"/>
    <w:tmpl w:val="E744A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F49"/>
    <w:multiLevelType w:val="hybridMultilevel"/>
    <w:tmpl w:val="B1DE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6D"/>
    <w:rsid w:val="0000648E"/>
    <w:rsid w:val="00034CAC"/>
    <w:rsid w:val="00043F17"/>
    <w:rsid w:val="0004416E"/>
    <w:rsid w:val="00064085"/>
    <w:rsid w:val="00066214"/>
    <w:rsid w:val="000665DC"/>
    <w:rsid w:val="00075DF0"/>
    <w:rsid w:val="00084F1B"/>
    <w:rsid w:val="000918A0"/>
    <w:rsid w:val="000A349E"/>
    <w:rsid w:val="000D4414"/>
    <w:rsid w:val="000E496B"/>
    <w:rsid w:val="000F4454"/>
    <w:rsid w:val="00111A37"/>
    <w:rsid w:val="00120DFC"/>
    <w:rsid w:val="00137E01"/>
    <w:rsid w:val="001913F8"/>
    <w:rsid w:val="001A6A22"/>
    <w:rsid w:val="001B7F6E"/>
    <w:rsid w:val="001D567C"/>
    <w:rsid w:val="001F0342"/>
    <w:rsid w:val="00206BF3"/>
    <w:rsid w:val="0021176A"/>
    <w:rsid w:val="00220AC2"/>
    <w:rsid w:val="00247C9E"/>
    <w:rsid w:val="0026347D"/>
    <w:rsid w:val="00264B63"/>
    <w:rsid w:val="002A1FB2"/>
    <w:rsid w:val="002A5A21"/>
    <w:rsid w:val="002C50FF"/>
    <w:rsid w:val="002E0F74"/>
    <w:rsid w:val="002F287D"/>
    <w:rsid w:val="002F518F"/>
    <w:rsid w:val="00314B8E"/>
    <w:rsid w:val="00322B05"/>
    <w:rsid w:val="00334A39"/>
    <w:rsid w:val="003465E4"/>
    <w:rsid w:val="00381128"/>
    <w:rsid w:val="003D0D3A"/>
    <w:rsid w:val="003D7863"/>
    <w:rsid w:val="003E5B32"/>
    <w:rsid w:val="003F1BC6"/>
    <w:rsid w:val="003F5CB3"/>
    <w:rsid w:val="00404AC1"/>
    <w:rsid w:val="00406145"/>
    <w:rsid w:val="00406C86"/>
    <w:rsid w:val="0042385C"/>
    <w:rsid w:val="00461175"/>
    <w:rsid w:val="00463DEF"/>
    <w:rsid w:val="00492D20"/>
    <w:rsid w:val="00492FD8"/>
    <w:rsid w:val="004D2603"/>
    <w:rsid w:val="004E3529"/>
    <w:rsid w:val="0051596C"/>
    <w:rsid w:val="005520FD"/>
    <w:rsid w:val="00564927"/>
    <w:rsid w:val="00573E14"/>
    <w:rsid w:val="00574476"/>
    <w:rsid w:val="005B23DA"/>
    <w:rsid w:val="005B4C3B"/>
    <w:rsid w:val="005D6C15"/>
    <w:rsid w:val="005F4143"/>
    <w:rsid w:val="00614628"/>
    <w:rsid w:val="006241BE"/>
    <w:rsid w:val="00625F9A"/>
    <w:rsid w:val="00642F74"/>
    <w:rsid w:val="006536F4"/>
    <w:rsid w:val="006638FD"/>
    <w:rsid w:val="00676CF2"/>
    <w:rsid w:val="006979F0"/>
    <w:rsid w:val="006B03A4"/>
    <w:rsid w:val="006C3412"/>
    <w:rsid w:val="006D40D7"/>
    <w:rsid w:val="006F3D71"/>
    <w:rsid w:val="006F422F"/>
    <w:rsid w:val="0074136D"/>
    <w:rsid w:val="00764E9F"/>
    <w:rsid w:val="007726DC"/>
    <w:rsid w:val="00793DA4"/>
    <w:rsid w:val="00793EE4"/>
    <w:rsid w:val="007953D5"/>
    <w:rsid w:val="007B4BC9"/>
    <w:rsid w:val="007C5EBA"/>
    <w:rsid w:val="007E0DD1"/>
    <w:rsid w:val="0081043D"/>
    <w:rsid w:val="0082595F"/>
    <w:rsid w:val="00832E2C"/>
    <w:rsid w:val="00853CFB"/>
    <w:rsid w:val="00861B50"/>
    <w:rsid w:val="00875E91"/>
    <w:rsid w:val="0089186F"/>
    <w:rsid w:val="008F213F"/>
    <w:rsid w:val="008F24BD"/>
    <w:rsid w:val="008F618D"/>
    <w:rsid w:val="00920BA6"/>
    <w:rsid w:val="00920C28"/>
    <w:rsid w:val="009369E0"/>
    <w:rsid w:val="00946282"/>
    <w:rsid w:val="00954E20"/>
    <w:rsid w:val="00993D68"/>
    <w:rsid w:val="00995FF7"/>
    <w:rsid w:val="009A1FDF"/>
    <w:rsid w:val="009A55F2"/>
    <w:rsid w:val="009A67A3"/>
    <w:rsid w:val="009D4C44"/>
    <w:rsid w:val="009D7A47"/>
    <w:rsid w:val="009F522A"/>
    <w:rsid w:val="00A01860"/>
    <w:rsid w:val="00A07336"/>
    <w:rsid w:val="00A0771A"/>
    <w:rsid w:val="00A24AAE"/>
    <w:rsid w:val="00A27F34"/>
    <w:rsid w:val="00A6169D"/>
    <w:rsid w:val="00A72C2B"/>
    <w:rsid w:val="00A74C49"/>
    <w:rsid w:val="00A75FF1"/>
    <w:rsid w:val="00A76FEE"/>
    <w:rsid w:val="00A7786C"/>
    <w:rsid w:val="00AA3F36"/>
    <w:rsid w:val="00AB0FC9"/>
    <w:rsid w:val="00AC5225"/>
    <w:rsid w:val="00AC740B"/>
    <w:rsid w:val="00AD0A98"/>
    <w:rsid w:val="00AD2518"/>
    <w:rsid w:val="00AE109F"/>
    <w:rsid w:val="00AF7403"/>
    <w:rsid w:val="00B00263"/>
    <w:rsid w:val="00B02988"/>
    <w:rsid w:val="00B0470B"/>
    <w:rsid w:val="00B40A1A"/>
    <w:rsid w:val="00B433F3"/>
    <w:rsid w:val="00B737C1"/>
    <w:rsid w:val="00BA2234"/>
    <w:rsid w:val="00BA6A89"/>
    <w:rsid w:val="00BB49E3"/>
    <w:rsid w:val="00BC0C14"/>
    <w:rsid w:val="00BC12F8"/>
    <w:rsid w:val="00BC14B0"/>
    <w:rsid w:val="00BF1547"/>
    <w:rsid w:val="00C0011C"/>
    <w:rsid w:val="00C0048A"/>
    <w:rsid w:val="00C063A6"/>
    <w:rsid w:val="00C07AAB"/>
    <w:rsid w:val="00C3717F"/>
    <w:rsid w:val="00C42C4B"/>
    <w:rsid w:val="00C60FA7"/>
    <w:rsid w:val="00CA0A4C"/>
    <w:rsid w:val="00CA2985"/>
    <w:rsid w:val="00CA3000"/>
    <w:rsid w:val="00CC0E46"/>
    <w:rsid w:val="00CE6DE7"/>
    <w:rsid w:val="00CF3BE2"/>
    <w:rsid w:val="00D0760A"/>
    <w:rsid w:val="00D23F80"/>
    <w:rsid w:val="00D40B81"/>
    <w:rsid w:val="00D46AC8"/>
    <w:rsid w:val="00D472FF"/>
    <w:rsid w:val="00D823A0"/>
    <w:rsid w:val="00D83342"/>
    <w:rsid w:val="00D85D46"/>
    <w:rsid w:val="00D95840"/>
    <w:rsid w:val="00DA3775"/>
    <w:rsid w:val="00DC0FFA"/>
    <w:rsid w:val="00DC6803"/>
    <w:rsid w:val="00DD28A9"/>
    <w:rsid w:val="00DF7C1E"/>
    <w:rsid w:val="00E13165"/>
    <w:rsid w:val="00E26ADD"/>
    <w:rsid w:val="00E26C74"/>
    <w:rsid w:val="00E27D53"/>
    <w:rsid w:val="00E44AC9"/>
    <w:rsid w:val="00EC66E0"/>
    <w:rsid w:val="00ED16FB"/>
    <w:rsid w:val="00EE37A2"/>
    <w:rsid w:val="00F17F9D"/>
    <w:rsid w:val="00F528C2"/>
    <w:rsid w:val="00F61143"/>
    <w:rsid w:val="00F66FBF"/>
    <w:rsid w:val="00F846BF"/>
    <w:rsid w:val="00F9633E"/>
    <w:rsid w:val="00FD50AB"/>
    <w:rsid w:val="00FE49A6"/>
    <w:rsid w:val="00FE5E73"/>
    <w:rsid w:val="00FE6A5D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79DFE6B-CA7E-4042-8F6E-7AE33AD2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413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2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2B0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22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2B05"/>
    <w:rPr>
      <w:sz w:val="22"/>
      <w:szCs w:val="22"/>
      <w:lang w:eastAsia="en-US"/>
    </w:rPr>
  </w:style>
  <w:style w:type="character" w:customStyle="1" w:styleId="FontStyle36">
    <w:name w:val="Font Style36"/>
    <w:rsid w:val="00DC0FF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DC0FFA"/>
    <w:pPr>
      <w:widowControl w:val="0"/>
      <w:autoSpaceDE w:val="0"/>
      <w:autoSpaceDN w:val="0"/>
      <w:adjustRightInd w:val="0"/>
      <w:spacing w:after="0" w:line="276" w:lineRule="exact"/>
      <w:ind w:firstLine="562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7786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786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778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List Paragraph"/>
    <w:basedOn w:val="a"/>
    <w:uiPriority w:val="34"/>
    <w:qFormat/>
    <w:rsid w:val="00AD0A98"/>
    <w:pPr>
      <w:ind w:left="720"/>
      <w:contextualSpacing/>
    </w:pPr>
  </w:style>
  <w:style w:type="paragraph" w:customStyle="1" w:styleId="Style7">
    <w:name w:val="Style7"/>
    <w:basedOn w:val="a"/>
    <w:rsid w:val="00E44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0918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A018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9F86-0C71-4230-B1A2-8B7C9A17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9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EkaterinskaiaNA</dc:creator>
  <cp:lastModifiedBy>Муратова Эльвира Галиевна</cp:lastModifiedBy>
  <cp:revision>4</cp:revision>
  <cp:lastPrinted>2025-12-23T12:18:00Z</cp:lastPrinted>
  <dcterms:created xsi:type="dcterms:W3CDTF">2025-12-19T10:37:00Z</dcterms:created>
  <dcterms:modified xsi:type="dcterms:W3CDTF">2025-12-23T13:14:00Z</dcterms:modified>
</cp:coreProperties>
</file>