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047C16">
      <w:pPr>
        <w:pStyle w:val="1"/>
        <w:rPr>
          <w:noProof/>
        </w:rPr>
      </w:pPr>
      <w:bookmarkStart w:id="0" w:name="_GoBack"/>
      <w:bookmarkEnd w:id="0"/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="00E92249">
        <w:rPr>
          <w:rFonts w:ascii="Times New Roman" w:hAnsi="Times New Roman"/>
          <w:sz w:val="28"/>
          <w:szCs w:val="28"/>
        </w:rPr>
        <w:t>13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E92249">
        <w:rPr>
          <w:rFonts w:ascii="Times New Roman" w:hAnsi="Times New Roman"/>
          <w:sz w:val="28"/>
          <w:szCs w:val="28"/>
        </w:rPr>
        <w:t>декабря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A924AD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E92249">
        <w:rPr>
          <w:rFonts w:ascii="Times New Roman" w:hAnsi="Times New Roman"/>
          <w:sz w:val="28"/>
          <w:szCs w:val="28"/>
        </w:rPr>
        <w:t>162</w:t>
      </w:r>
    </w:p>
    <w:p w:rsidR="00E968C1" w:rsidRDefault="00E968C1" w:rsidP="00A12F68">
      <w:pPr>
        <w:spacing w:after="0"/>
      </w:pPr>
    </w:p>
    <w:p w:rsidR="00DD3049" w:rsidRPr="00B1630B" w:rsidRDefault="00DD3049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30B">
        <w:rPr>
          <w:rFonts w:ascii="Times New Roman" w:hAnsi="Times New Roman"/>
          <w:b/>
          <w:sz w:val="28"/>
          <w:szCs w:val="28"/>
        </w:rPr>
        <w:t>О бюджете Промышленного внутригородского района</w:t>
      </w:r>
    </w:p>
    <w:p w:rsidR="00DD3049" w:rsidRPr="00B1630B" w:rsidRDefault="00DD3049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30B">
        <w:rPr>
          <w:rFonts w:ascii="Times New Roman" w:hAnsi="Times New Roman"/>
          <w:b/>
          <w:sz w:val="28"/>
          <w:szCs w:val="28"/>
        </w:rPr>
        <w:t xml:space="preserve"> городского округа Самара Самарской области на 2024 год и</w:t>
      </w:r>
    </w:p>
    <w:p w:rsidR="00234813" w:rsidRDefault="00DD3049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30B">
        <w:rPr>
          <w:rFonts w:ascii="Times New Roman" w:hAnsi="Times New Roman"/>
          <w:b/>
          <w:sz w:val="28"/>
          <w:szCs w:val="28"/>
        </w:rPr>
        <w:t xml:space="preserve"> на плановый период 2025 и 2026 годов</w:t>
      </w:r>
      <w:r w:rsidR="00706C86" w:rsidRPr="00F13301">
        <w:rPr>
          <w:rFonts w:ascii="Times New Roman" w:hAnsi="Times New Roman"/>
          <w:b/>
          <w:sz w:val="28"/>
          <w:szCs w:val="28"/>
        </w:rPr>
        <w:t xml:space="preserve"> </w:t>
      </w:r>
    </w:p>
    <w:p w:rsidR="00706C86" w:rsidRPr="004F0E22" w:rsidRDefault="00706C86" w:rsidP="0070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26" w:rsidRPr="00773326" w:rsidRDefault="00773326" w:rsidP="007733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</w:t>
      </w:r>
      <w:proofErr w:type="gramStart"/>
      <w:r w:rsidRPr="00773326">
        <w:rPr>
          <w:rFonts w:ascii="Times New Roman" w:hAnsi="Times New Roman"/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Самара «О бюджете Промышленного внутригородского района городского округа </w:t>
      </w:r>
      <w:proofErr w:type="gramStart"/>
      <w:r w:rsidRPr="00773326">
        <w:rPr>
          <w:rFonts w:ascii="Times New Roman" w:hAnsi="Times New Roman"/>
          <w:sz w:val="28"/>
          <w:szCs w:val="28"/>
        </w:rPr>
        <w:t>Самара Самарской области на 2024 год и на плановый период 2025 и 2026 годов», в соответствии с Положением «О бюджетном устройстве и бюджетном процессе Промышленного внутригородского района городского округа Самара», утвержденным Решением Совета депутатов Промышленного внутригородского района городского округа Самара от 23 декабря 2015 года № 27, Совет депутатов Промышленного внутригородского района городского округа Самара</w:t>
      </w:r>
      <w:proofErr w:type="gramEnd"/>
    </w:p>
    <w:p w:rsidR="00773326" w:rsidRPr="00773326" w:rsidRDefault="00773326" w:rsidP="00773326">
      <w:pPr>
        <w:jc w:val="center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РЕШИЛ: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2024 год: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общий объем доходов –  319 305,0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общий объем расходов – 319 305,0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- дефицит – 0,0 тыс. рублей.  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2. Утвердить основные характеристики бюджета Промышленного внутригородского района на 2025 год: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общий объем доходов – 281 385,9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общий объем расходов –281 385,9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дефицит –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3. Утвердить основные характеристики бюджета Промышленного внутригородского района на 2026 год: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lastRenderedPageBreak/>
        <w:t>- общий объем доходов – 282 949,7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- общий объем расходов – 282 949,7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- дефицит – 0,0 тыс. рублей.  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4. Утвердить общий объем условно утвержденных расходов: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на 2025 год – 7 035,0 тыс. рублей;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на 2026 год – 14 148,0 тыс. рублей.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5. Установить, что в 2024 году и плановом периоде 2025 и 2026 годов Промышленным внутригородским районом городского округа Самара (далее – Промышленный внутригородской район) муниципальные заимствования не осуществляются, программа муниципальных внутренних и внешних заимствований не утверждается.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6. Установить, что в 2024 году и плановом периоде 2025 и 2026 годов Промышленным внутригородским районом муниципальные гарантии не предоставляются, программа муниципальных гарантий не утверждается.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7. Установить предельный объем муниципального долга Промышленного внутригородского района: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2024 году – в сумме 0,0 тыс. рублей, в том числе предельный объем обязательств по муниципальным гарантиям – в сумме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2025 году – в сумме 0,0 тыс. рублей, в том числе предельный объем обязательств по муниципальным гарантиям – в сумме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2026 году – в сумме 0,0 тыс. рублей, в том числе предельный объем обязательств по муниципальным гарантиям – в сумме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8. Установить верхний предел муниципального внутреннего долга Промышленного внутригородского района: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01 января 2025 года – в сумме 0,0 тыс. рублей, в том числе верхний предел долга по муниципальным гарантиям – в сумме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01 января 2026 года – в сумме 0,0 тыс. рублей, в том числе верхний предел долга по муниципальным гарантиям – в сумме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01 января 2027 года – в сумме 0,0 тыс. рублей, в том числе верхний предел долга по муниципальным гарантиям – в сумме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9. Установить объем расходов на обслуживание муниципального долга Промышленного внутригородского района: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2025 году –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в 2026 году –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10. Утвердить общий объем бюджетных ассигнований бюджета Промышленного внутригородского района, направляемых на исполнение публичных нормативных обязательств в размере: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2024 год –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lastRenderedPageBreak/>
        <w:t>на 2025 год – 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2026 год –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11. Утвердить объем межбюджетных трансфертов, получаемых из бюджета городского округа Самара Самарской области, в сумме: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2024 год – 96 379,4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2025 год – 62 210,2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2026 год – 47 046,8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12. Утвердить объем межбюджетных трансфертов, получаемых из бюджета Самарской области, в сумме: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2024 год – 24 599,7,0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2025 год – 2 956,0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2026 год – 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13. Установить, что в 2024 году и плановом периоде 2025 и 2026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предоставляются. 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14. Утвердить источники финансирования дефицита бюджета Промышленного внутригородского района, перечень </w:t>
      </w:r>
      <w:proofErr w:type="gramStart"/>
      <w:r w:rsidRPr="00773326">
        <w:rPr>
          <w:rFonts w:ascii="Times New Roman" w:hAnsi="Times New Roman"/>
          <w:sz w:val="28"/>
          <w:szCs w:val="28"/>
        </w:rPr>
        <w:t>статей источников финансирования дефицита бюджета Промышленного внутригородского района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на 2024 год согласно Приложению № 1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Промышленного внутригородского района, перечень </w:t>
      </w:r>
      <w:proofErr w:type="gramStart"/>
      <w:r w:rsidRPr="00773326">
        <w:rPr>
          <w:rFonts w:ascii="Times New Roman" w:hAnsi="Times New Roman"/>
          <w:sz w:val="28"/>
          <w:szCs w:val="28"/>
        </w:rPr>
        <w:t>статей источников финансирования дефицита бюджета Промышленного внутригородского района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на плановый период 2025 и 2026 годов согласно Приложению № 2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15. Установить размер резервного фонда Администрации Промышленного внутригородского района городского округа Самара:                        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2024 год – 50,0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2025 год – 50,0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2026 год – 50,0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16. Утвердить объем бюджетных ассигнований муниципального дорожного фонда Промышленного внутригородского района городского округа Самара: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2024 год – 200,0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2025 год – 216,2 тыс. рублей;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на 2026 год – 235,9 тыс. рублей.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17. Установить, что в 2024 году и плановом периоде 2025 и 2026 годов:   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17.1.  </w:t>
      </w:r>
      <w:proofErr w:type="gramStart"/>
      <w:r w:rsidRPr="00773326">
        <w:rPr>
          <w:rFonts w:ascii="Times New Roman" w:hAnsi="Times New Roman"/>
          <w:sz w:val="28"/>
          <w:szCs w:val="28"/>
        </w:rPr>
        <w:t xml:space="preserve">За счет средств бюджета Промышленного внутригородского района на безвозмездной и безвозвратной основе предоставляются субсидии </w:t>
      </w:r>
      <w:r w:rsidRPr="00773326">
        <w:rPr>
          <w:rFonts w:ascii="Times New Roman" w:hAnsi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Промышленного внутригородского района,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326">
        <w:rPr>
          <w:rFonts w:ascii="Times New Roman" w:hAnsi="Times New Roman"/>
          <w:sz w:val="28"/>
          <w:szCs w:val="28"/>
        </w:rPr>
        <w:t>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 по следующему направлению:</w:t>
      </w:r>
      <w:proofErr w:type="gramEnd"/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- выполнение работ по организации и содержанию </w:t>
      </w:r>
      <w:proofErr w:type="spellStart"/>
      <w:r w:rsidRPr="0077332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773326">
        <w:rPr>
          <w:rFonts w:ascii="Times New Roman" w:hAnsi="Times New Roman"/>
          <w:sz w:val="28"/>
          <w:szCs w:val="28"/>
        </w:rPr>
        <w:t xml:space="preserve"> ледовых площадок.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17.2. За счет средств бюджета Промышленного внутригородского района могут предоставляться субсидии муниципальным бюджетным учреждениям, в том числе на иные цели.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задания, устанавливается Постановлением Администрации Промышленного внутригородского района городского округа Самара.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требованиям, установленным Правительством Российской Федерации. 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18. Установить, что в 2024 году и плановом периоде 2025 и 2026 годов за счет средств бюджета Промышленного внутригородского района бюджетные инвестиции юридическим лицам, не являющимся государственными (муниципальными) учреждениями или государственными (муниципальным) унитарными учреждениями, не предоставляются.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lastRenderedPageBreak/>
        <w:t>19. Утвердить доходы бюджета Промышленного внутригородского района на 2024 год по кодам видов доходов, подвидов доходов, согласно Приложению № 3 к настоящему Решению.</w:t>
      </w:r>
    </w:p>
    <w:p w:rsidR="00773326" w:rsidRPr="00773326" w:rsidRDefault="00773326" w:rsidP="00773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Утвердить доходы бюджета Промышленного внутригородского района на плановый период 2025 и 2026 годов по кодам видов доходов, подвидов доходов, согласно Приложению № 4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20. Утвердить ведомственную структуру расходов бюджета Промышленного внутригородского района на 2024 год согласно Приложению № 5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Промышленного внутригородского района на плановый период 2025 и 2026 годов согласно Приложению № 6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21. Утвердить распределение бюджетных ассигнований на 2024 год по разделам, подразделам, целевым статьям (муниципальным программам  и непрограммным направлениям деятельности), группам (группам и подгруппам) видов </w:t>
      </w:r>
      <w:proofErr w:type="gramStart"/>
      <w:r w:rsidRPr="00773326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согласно Приложению № 7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на плановый период 2025 и 2026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73326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согласно Приложению № 8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22. Утвердить перечень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год согласно Приложению № 9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Утвердить перечень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2025-2026 годы согласно Приложению № 10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23. Утвердить 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</w:t>
      </w:r>
      <w:proofErr w:type="gramStart"/>
      <w:r w:rsidRPr="00773326">
        <w:rPr>
          <w:rFonts w:ascii="Times New Roman" w:hAnsi="Times New Roman"/>
          <w:sz w:val="28"/>
          <w:szCs w:val="28"/>
        </w:rPr>
        <w:t xml:space="preserve">структуры расходов бюджета Промышленного внутригородского района городского </w:t>
      </w:r>
      <w:r w:rsidRPr="00773326">
        <w:rPr>
          <w:rFonts w:ascii="Times New Roman" w:hAnsi="Times New Roman"/>
          <w:sz w:val="28"/>
          <w:szCs w:val="28"/>
        </w:rPr>
        <w:lastRenderedPageBreak/>
        <w:t>округа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Самара Самарской области на 2024 год согласно Приложению № 11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</w:t>
      </w:r>
      <w:proofErr w:type="gramStart"/>
      <w:r w:rsidRPr="00773326">
        <w:rPr>
          <w:rFonts w:ascii="Times New Roman" w:hAnsi="Times New Roman"/>
          <w:sz w:val="28"/>
          <w:szCs w:val="28"/>
        </w:rPr>
        <w:t>структуры расходов бюджета  Промышленного внутригородского района городского округа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Самара Самарской области на плановый период 2025 и 2026 годов согласно Приложению № 12 к настоящему Решению.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24. Остатки средств бюджета Промышленный внутригородского района на начало текущего финансового года могут направляться в 2024 году на увеличение: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фонда, не использованных в отчетном финансовом году;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326">
        <w:rPr>
          <w:rFonts w:ascii="Times New Roman" w:hAnsi="Times New Roman"/>
          <w:sz w:val="28"/>
          <w:szCs w:val="28"/>
        </w:rPr>
        <w:t>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 на указанные цели;</w:t>
      </w:r>
      <w:proofErr w:type="gramEnd"/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25. Установить, что в 2024 году и плановом периоде 2025 и 2026 годов группировка долговых обязатель</w:t>
      </w:r>
      <w:proofErr w:type="gramStart"/>
      <w:r w:rsidRPr="00773326">
        <w:rPr>
          <w:rFonts w:ascii="Times New Roman" w:hAnsi="Times New Roman"/>
          <w:sz w:val="28"/>
          <w:szCs w:val="28"/>
        </w:rPr>
        <w:t>ств Пр</w:t>
      </w:r>
      <w:proofErr w:type="gramEnd"/>
      <w:r w:rsidRPr="00773326">
        <w:rPr>
          <w:rFonts w:ascii="Times New Roman" w:hAnsi="Times New Roman"/>
          <w:sz w:val="28"/>
          <w:szCs w:val="28"/>
        </w:rPr>
        <w:t>омышленного внутригородского района городского округа Самара Самарской области по установленным Бюджетным кодексом Российской Федерации видам долговых обязательств не утверждается.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773326">
        <w:rPr>
          <w:rFonts w:ascii="Times New Roman" w:hAnsi="Times New Roman"/>
          <w:sz w:val="28"/>
          <w:szCs w:val="28"/>
        </w:rPr>
        <w:t xml:space="preserve">Установить, что средства в объеме остатков субсидий, предоставленных муниципальным бюджетным учреждениям на финансовое обеспечение выполнения муниципальных заданий на оказание муниципальных услуг (выполнения работ), образовавшихся в связи с </w:t>
      </w:r>
      <w:proofErr w:type="spellStart"/>
      <w:r w:rsidRPr="00773326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773326">
        <w:rPr>
          <w:rFonts w:ascii="Times New Roman" w:hAnsi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 подлежат возврату в </w:t>
      </w:r>
      <w:r w:rsidRPr="00773326">
        <w:rPr>
          <w:rFonts w:ascii="Times New Roman" w:hAnsi="Times New Roman"/>
          <w:sz w:val="28"/>
          <w:szCs w:val="28"/>
        </w:rPr>
        <w:lastRenderedPageBreak/>
        <w:t>бюджет Промышленного внутригородского района в порядке, установленном Администрацией Промышленного внутригородского района городского округа Самара.</w:t>
      </w:r>
      <w:proofErr w:type="gramEnd"/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27. Официально опубликовать настоящее Решение не позднее десяти дней после его подписания.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33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773326">
        <w:rPr>
          <w:rFonts w:ascii="Times New Roman" w:hAnsi="Times New Roman"/>
          <w:sz w:val="28"/>
          <w:szCs w:val="28"/>
        </w:rPr>
        <w:t>. Настоящее Решение вступает в силу с 01 января 2024 года и действует по 31 декабря 2024 года, за исключением положения пункта 17 настоящего Решения, которое действует по 31 декабря 2026 года.</w:t>
      </w:r>
    </w:p>
    <w:p w:rsidR="00773326" w:rsidRPr="00773326" w:rsidRDefault="00773326" w:rsidP="007733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733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3326">
        <w:rPr>
          <w:rFonts w:ascii="Times New Roman" w:hAnsi="Times New Roman"/>
          <w:sz w:val="28"/>
          <w:szCs w:val="28"/>
        </w:rPr>
        <w:t>Со дня вступления в силу настоящего Решения пункт 17 Решения Совета депутатов Промышленного внутригородского района городского округа Самара от 30.11.2022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Решений Совета депутатов Промышленного внутригородского района городского округа Самара от 21.12.2022 г. № 126, от 25.01.2023 г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773326">
        <w:rPr>
          <w:rFonts w:ascii="Times New Roman" w:hAnsi="Times New Roman"/>
          <w:sz w:val="28"/>
          <w:szCs w:val="28"/>
        </w:rPr>
        <w:t>128, от 01.03.2023 г. № 132, от 29.03.2023 г. № 134, от 27.04.2023 г. № 140, от 24.05.2023 г. № 145, от 24.08.2023 г. № 147) признается утратившим силу.</w:t>
      </w:r>
      <w:proofErr w:type="gramEnd"/>
    </w:p>
    <w:p w:rsidR="00B1630B" w:rsidRPr="00884481" w:rsidRDefault="00773326" w:rsidP="00773326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22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30</w:t>
      </w:r>
      <w:r w:rsidRPr="007733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3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32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B1630B" w:rsidRPr="00884481" w:rsidRDefault="00B1630B" w:rsidP="00B1630B">
      <w:pPr>
        <w:jc w:val="both"/>
        <w:rPr>
          <w:b/>
          <w:bCs/>
          <w:sz w:val="28"/>
          <w:szCs w:val="28"/>
        </w:rPr>
      </w:pPr>
    </w:p>
    <w:p w:rsidR="00630C63" w:rsidRDefault="00630C63" w:rsidP="00630C63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30C63" w:rsidRPr="005A6E11" w:rsidRDefault="00630C63" w:rsidP="00630C63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630C63" w:rsidRPr="005A6E11" w:rsidRDefault="00630C63" w:rsidP="00630C63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30C63" w:rsidRDefault="00630C63" w:rsidP="00630C63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Блинков</w:t>
      </w:r>
    </w:p>
    <w:p w:rsidR="00B1630B" w:rsidRPr="00B1630B" w:rsidRDefault="00B1630B" w:rsidP="00B163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630B" w:rsidRPr="00B1630B" w:rsidRDefault="00B1630B" w:rsidP="00B163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211" w:rsidRDefault="00B1630B" w:rsidP="00B163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630B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B1630B" w:rsidRPr="00B1630B" w:rsidRDefault="00B1630B" w:rsidP="00B163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630B">
        <w:rPr>
          <w:rFonts w:ascii="Times New Roman" w:hAnsi="Times New Roman"/>
          <w:b/>
          <w:sz w:val="28"/>
          <w:szCs w:val="28"/>
        </w:rPr>
        <w:t xml:space="preserve">Совета </w:t>
      </w:r>
      <w:r w:rsidR="00967211">
        <w:rPr>
          <w:rFonts w:ascii="Times New Roman" w:hAnsi="Times New Roman"/>
          <w:b/>
          <w:sz w:val="28"/>
          <w:szCs w:val="28"/>
        </w:rPr>
        <w:t>д</w:t>
      </w:r>
      <w:r w:rsidRPr="00B1630B">
        <w:rPr>
          <w:rFonts w:ascii="Times New Roman" w:hAnsi="Times New Roman"/>
          <w:b/>
          <w:sz w:val="28"/>
          <w:szCs w:val="28"/>
        </w:rPr>
        <w:t>епутатов</w:t>
      </w:r>
      <w:r w:rsidR="0096721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163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И.С. Шевцов</w:t>
      </w:r>
    </w:p>
    <w:p w:rsidR="00B1630B" w:rsidRPr="00D210C2" w:rsidRDefault="00B1630B" w:rsidP="00B1630B">
      <w:pPr>
        <w:jc w:val="both"/>
        <w:rPr>
          <w:b/>
          <w:bCs/>
          <w:sz w:val="28"/>
          <w:szCs w:val="28"/>
        </w:rPr>
      </w:pPr>
    </w:p>
    <w:p w:rsidR="002171A0" w:rsidRPr="008C5F2E" w:rsidRDefault="002171A0" w:rsidP="00B1630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2AE"/>
    <w:rsid w:val="00026872"/>
    <w:rsid w:val="00034815"/>
    <w:rsid w:val="00047C16"/>
    <w:rsid w:val="000E6467"/>
    <w:rsid w:val="000F4023"/>
    <w:rsid w:val="00144C17"/>
    <w:rsid w:val="00150A15"/>
    <w:rsid w:val="00164662"/>
    <w:rsid w:val="0018539B"/>
    <w:rsid w:val="001867BE"/>
    <w:rsid w:val="001B725E"/>
    <w:rsid w:val="001D748A"/>
    <w:rsid w:val="002171A0"/>
    <w:rsid w:val="00234813"/>
    <w:rsid w:val="00242FBC"/>
    <w:rsid w:val="00271D7C"/>
    <w:rsid w:val="00285452"/>
    <w:rsid w:val="002A22F6"/>
    <w:rsid w:val="002D3455"/>
    <w:rsid w:val="003411B9"/>
    <w:rsid w:val="003C2DE3"/>
    <w:rsid w:val="004526FA"/>
    <w:rsid w:val="00497E06"/>
    <w:rsid w:val="00510174"/>
    <w:rsid w:val="0051179F"/>
    <w:rsid w:val="00573A41"/>
    <w:rsid w:val="005A1CCD"/>
    <w:rsid w:val="005A2056"/>
    <w:rsid w:val="005C100B"/>
    <w:rsid w:val="005F70EC"/>
    <w:rsid w:val="00601760"/>
    <w:rsid w:val="00630C63"/>
    <w:rsid w:val="00697343"/>
    <w:rsid w:val="00700BC7"/>
    <w:rsid w:val="00705FB1"/>
    <w:rsid w:val="00706763"/>
    <w:rsid w:val="00706C86"/>
    <w:rsid w:val="00715062"/>
    <w:rsid w:val="00747531"/>
    <w:rsid w:val="00773326"/>
    <w:rsid w:val="007F665E"/>
    <w:rsid w:val="00803DBD"/>
    <w:rsid w:val="00820D41"/>
    <w:rsid w:val="008A27C0"/>
    <w:rsid w:val="008B0925"/>
    <w:rsid w:val="008C5F2E"/>
    <w:rsid w:val="008E0CFA"/>
    <w:rsid w:val="009319E1"/>
    <w:rsid w:val="009427E4"/>
    <w:rsid w:val="00967211"/>
    <w:rsid w:val="009A0B47"/>
    <w:rsid w:val="009F58F6"/>
    <w:rsid w:val="00A017B5"/>
    <w:rsid w:val="00A118BE"/>
    <w:rsid w:val="00A12F68"/>
    <w:rsid w:val="00A55854"/>
    <w:rsid w:val="00A63433"/>
    <w:rsid w:val="00A73B5B"/>
    <w:rsid w:val="00A877EC"/>
    <w:rsid w:val="00A91D1F"/>
    <w:rsid w:val="00A924AD"/>
    <w:rsid w:val="00AC77F9"/>
    <w:rsid w:val="00B03D81"/>
    <w:rsid w:val="00B162DE"/>
    <w:rsid w:val="00B1630B"/>
    <w:rsid w:val="00B2522F"/>
    <w:rsid w:val="00B47142"/>
    <w:rsid w:val="00B96FE2"/>
    <w:rsid w:val="00BB705D"/>
    <w:rsid w:val="00C03E9A"/>
    <w:rsid w:val="00C634B0"/>
    <w:rsid w:val="00C95B16"/>
    <w:rsid w:val="00CC200B"/>
    <w:rsid w:val="00D17503"/>
    <w:rsid w:val="00D44165"/>
    <w:rsid w:val="00D76839"/>
    <w:rsid w:val="00D945F4"/>
    <w:rsid w:val="00DB71C0"/>
    <w:rsid w:val="00DD1132"/>
    <w:rsid w:val="00DD3049"/>
    <w:rsid w:val="00E6000A"/>
    <w:rsid w:val="00E61354"/>
    <w:rsid w:val="00E92249"/>
    <w:rsid w:val="00E968C1"/>
    <w:rsid w:val="00EA6043"/>
    <w:rsid w:val="00EB15BB"/>
    <w:rsid w:val="00F04BC1"/>
    <w:rsid w:val="00F13301"/>
    <w:rsid w:val="00F61044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B163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6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B163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6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2023-12-14T07:04:00Z</dcterms:created>
  <dcterms:modified xsi:type="dcterms:W3CDTF">2023-12-14T07:04:00Z</dcterms:modified>
</cp:coreProperties>
</file>