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bookmarkStart w:id="0" w:name="_GoBack"/>
      <w:bookmarkEnd w:id="0"/>
    </w:p>
    <w:p w:rsidR="008045BD" w:rsidRPr="008045BD" w:rsidRDefault="008045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D73F63">
        <w:rPr>
          <w:rFonts w:ascii="Times New Roman" w:hAnsi="Times New Roman"/>
          <w:sz w:val="28"/>
          <w:szCs w:val="28"/>
        </w:rPr>
        <w:t>07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D73F6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807496">
        <w:rPr>
          <w:rFonts w:ascii="Times New Roman" w:hAnsi="Times New Roman"/>
          <w:sz w:val="28"/>
          <w:szCs w:val="28"/>
        </w:rPr>
        <w:t>3</w:t>
      </w:r>
      <w:r w:rsidR="00D73F63">
        <w:rPr>
          <w:rFonts w:ascii="Times New Roman" w:hAnsi="Times New Roman"/>
          <w:sz w:val="28"/>
          <w:szCs w:val="28"/>
        </w:rPr>
        <w:t>6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</w:t>
      </w:r>
      <w:r w:rsidR="00C37C6F">
        <w:rPr>
          <w:rFonts w:ascii="Times New Roman" w:hAnsi="Times New Roman"/>
          <w:b/>
          <w:sz w:val="28"/>
          <w:lang w:val="ru-RU"/>
        </w:rPr>
        <w:t xml:space="preserve">ть </w:t>
      </w:r>
      <w:r w:rsidR="00D73F63">
        <w:rPr>
          <w:rFonts w:ascii="Times New Roman" w:hAnsi="Times New Roman"/>
          <w:b/>
          <w:sz w:val="28"/>
          <w:lang w:val="ru-RU"/>
        </w:rPr>
        <w:t>второго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73F63"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73F63">
        <w:rPr>
          <w:rFonts w:ascii="Times New Roman" w:hAnsi="Times New Roman"/>
          <w:sz w:val="28"/>
          <w:szCs w:val="28"/>
          <w:lang w:val="ru-RU"/>
        </w:rPr>
        <w:t>второе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3F63">
        <w:rPr>
          <w:rFonts w:ascii="Times New Roman" w:hAnsi="Times New Roman"/>
          <w:sz w:val="28"/>
          <w:szCs w:val="28"/>
          <w:lang w:val="ru-RU"/>
        </w:rPr>
        <w:t>9</w:t>
      </w:r>
      <w:r w:rsidR="00807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C6F">
        <w:rPr>
          <w:rFonts w:ascii="Times New Roman" w:hAnsi="Times New Roman"/>
          <w:sz w:val="28"/>
          <w:szCs w:val="28"/>
          <w:lang w:val="ru-RU"/>
        </w:rPr>
        <w:t>ноября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73F63">
        <w:rPr>
          <w:rFonts w:ascii="Times New Roman" w:hAnsi="Times New Roman"/>
          <w:sz w:val="28"/>
          <w:szCs w:val="28"/>
          <w:lang w:val="ru-RU"/>
        </w:rPr>
        <w:t>второго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Промышленного внутригородского района городского округа Самара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D73F63">
        <w:rPr>
          <w:rFonts w:ascii="Times New Roman" w:hAnsi="Times New Roman"/>
          <w:sz w:val="28"/>
          <w:szCs w:val="28"/>
        </w:rPr>
        <w:t>6</w:t>
      </w:r>
      <w:r w:rsidR="00807496">
        <w:rPr>
          <w:rFonts w:ascii="Times New Roman" w:hAnsi="Times New Roman"/>
          <w:sz w:val="28"/>
          <w:szCs w:val="28"/>
        </w:rPr>
        <w:t xml:space="preserve"> от «</w:t>
      </w:r>
      <w:r w:rsidR="00D73F6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 w:rsidR="00D73F63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2022 г. </w:t>
      </w:r>
    </w:p>
    <w:p w:rsidR="00626E3E" w:rsidRPr="009F2E31" w:rsidRDefault="00626E3E" w:rsidP="00626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807496" w:rsidRPr="009F2E31" w:rsidRDefault="00C37C6F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07496">
        <w:rPr>
          <w:rFonts w:ascii="Times New Roman" w:hAnsi="Times New Roman"/>
          <w:b/>
          <w:sz w:val="28"/>
          <w:szCs w:val="28"/>
        </w:rPr>
        <w:t>ридцат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="00D73F63">
        <w:rPr>
          <w:rFonts w:ascii="Times New Roman" w:hAnsi="Times New Roman"/>
          <w:b/>
          <w:sz w:val="28"/>
          <w:szCs w:val="28"/>
        </w:rPr>
        <w:t>второго</w:t>
      </w:r>
      <w:r w:rsidR="00807496"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C37C6F" w:rsidP="00807496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73F63">
        <w:rPr>
          <w:rFonts w:ascii="Times New Roman" w:hAnsi="Times New Roman"/>
          <w:sz w:val="28"/>
          <w:szCs w:val="28"/>
        </w:rPr>
        <w:t>9</w:t>
      </w:r>
      <w:r w:rsidR="00807496" w:rsidRPr="009F2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807496" w:rsidRPr="009F2E31">
        <w:rPr>
          <w:rFonts w:ascii="Times New Roman" w:hAnsi="Times New Roman"/>
          <w:sz w:val="28"/>
          <w:szCs w:val="28"/>
        </w:rPr>
        <w:t>.2</w:t>
      </w:r>
      <w:r w:rsidR="00807496">
        <w:rPr>
          <w:rFonts w:ascii="Times New Roman" w:hAnsi="Times New Roman"/>
          <w:sz w:val="28"/>
          <w:szCs w:val="28"/>
        </w:rPr>
        <w:t>022 г.</w:t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  <w:t xml:space="preserve">           </w:t>
      </w:r>
      <w:r w:rsidR="00807496" w:rsidRPr="009F2E31">
        <w:rPr>
          <w:rFonts w:ascii="Times New Roman" w:hAnsi="Times New Roman"/>
          <w:sz w:val="28"/>
          <w:szCs w:val="28"/>
        </w:rPr>
        <w:t xml:space="preserve">16.00 </w:t>
      </w:r>
    </w:p>
    <w:p w:rsidR="00807496" w:rsidRDefault="00807496" w:rsidP="00807496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D73F63" w:rsidRPr="00B840B8" w:rsidRDefault="00D73F63" w:rsidP="00D73F63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 Промышленного внутригородского района городского округа Самара                     на 202</w:t>
      </w:r>
      <w:r>
        <w:rPr>
          <w:rFonts w:ascii="Times New Roman" w:hAnsi="Times New Roman"/>
          <w:sz w:val="28"/>
          <w:szCs w:val="28"/>
        </w:rPr>
        <w:t>3</w:t>
      </w:r>
      <w:r w:rsidRPr="00B840B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840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840B8">
        <w:rPr>
          <w:rFonts w:ascii="Times New Roman" w:hAnsi="Times New Roman"/>
          <w:sz w:val="28"/>
          <w:szCs w:val="28"/>
        </w:rPr>
        <w:t xml:space="preserve"> годов.</w:t>
      </w:r>
    </w:p>
    <w:p w:rsidR="00D73F63" w:rsidRPr="00B840B8" w:rsidRDefault="00D73F63" w:rsidP="00D73F63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>О прогнозе социально-экономического развития Промышленного внутригородского района городского округа Самара на 202</w:t>
      </w:r>
      <w:r>
        <w:rPr>
          <w:rFonts w:ascii="Times New Roman" w:hAnsi="Times New Roman"/>
          <w:sz w:val="28"/>
          <w:szCs w:val="28"/>
        </w:rPr>
        <w:t>3</w:t>
      </w:r>
      <w:r w:rsidRPr="00B840B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840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840B8">
        <w:rPr>
          <w:rFonts w:ascii="Times New Roman" w:hAnsi="Times New Roman"/>
          <w:sz w:val="28"/>
          <w:szCs w:val="28"/>
        </w:rPr>
        <w:t xml:space="preserve"> годов.</w:t>
      </w:r>
    </w:p>
    <w:p w:rsidR="00D73F63" w:rsidRDefault="00D73F63" w:rsidP="00D73F63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 xml:space="preserve">О проекте </w:t>
      </w:r>
      <w:proofErr w:type="gramStart"/>
      <w:r w:rsidRPr="00B840B8">
        <w:rPr>
          <w:rFonts w:ascii="Times New Roman" w:hAnsi="Times New Roman"/>
          <w:sz w:val="28"/>
          <w:szCs w:val="28"/>
        </w:rPr>
        <w:t>решения Совета депутатов Промышленного внутригородского района городского округа</w:t>
      </w:r>
      <w:proofErr w:type="gramEnd"/>
      <w:r w:rsidRPr="00B840B8">
        <w:rPr>
          <w:rFonts w:ascii="Times New Roman" w:hAnsi="Times New Roman"/>
          <w:sz w:val="28"/>
          <w:szCs w:val="28"/>
        </w:rPr>
        <w:t xml:space="preserve"> Самара «О бюджете Промышленного внутригородского района городского округа Самара Самарской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B840B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B840B8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5</w:t>
      </w:r>
      <w:r w:rsidRPr="00B840B8">
        <w:rPr>
          <w:rFonts w:ascii="Times New Roman" w:hAnsi="Times New Roman"/>
          <w:sz w:val="28"/>
          <w:szCs w:val="28"/>
        </w:rPr>
        <w:t xml:space="preserve"> годов».</w:t>
      </w:r>
    </w:p>
    <w:p w:rsidR="00C37C6F" w:rsidRDefault="00C37C6F" w:rsidP="00D73F6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Pr="00C95D13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A0DFE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80DD0"/>
    <w:rsid w:val="00695E4A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045BD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37C6F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3F63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D81A-48DA-43BA-A2F0-E7B3AAB3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Трушкина Валерия Валерьевна</cp:lastModifiedBy>
  <cp:revision>3</cp:revision>
  <cp:lastPrinted>2022-11-07T05:38:00Z</cp:lastPrinted>
  <dcterms:created xsi:type="dcterms:W3CDTF">2022-11-07T05:47:00Z</dcterms:created>
  <dcterms:modified xsi:type="dcterms:W3CDTF">2022-11-07T05:48:00Z</dcterms:modified>
</cp:coreProperties>
</file>