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D13627">
        <w:rPr>
          <w:sz w:val="28"/>
          <w:szCs w:val="28"/>
        </w:rPr>
        <w:t>29-3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380C58">
        <w:rPr>
          <w:sz w:val="28"/>
          <w:szCs w:val="28"/>
        </w:rPr>
        <w:t>:71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380C58">
        <w:rPr>
          <w:sz w:val="28"/>
          <w:szCs w:val="28"/>
        </w:rPr>
        <w:t>, гараж № 9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42185C">
        <w:rPr>
          <w:color w:val="000000"/>
          <w:sz w:val="28"/>
          <w:szCs w:val="28"/>
        </w:rPr>
        <w:t>копия постановления Главы города Самары № 266 от 12.03.1996г.,</w:t>
      </w:r>
      <w:r w:rsidR="00EA076C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FA5B2E">
        <w:rPr>
          <w:color w:val="000000"/>
          <w:sz w:val="28"/>
          <w:szCs w:val="28"/>
        </w:rPr>
        <w:t xml:space="preserve"> владельцев гаражей ГСК № 785.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1362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schemas.microsoft.com/sharepoint/v3"/>
    <ds:schemaRef ds:uri="http://purl.org/dc/dcmitype/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2021-11-24T10:02:00Z</dcterms:created>
  <dcterms:modified xsi:type="dcterms:W3CDTF">2021-11-24T10:39:00Z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